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7B11"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0FBDDDE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2025-2026年厦门市工人文化宫室外篮球场暑期部分时段租赁合同</w:t>
      </w:r>
    </w:p>
    <w:p w14:paraId="18966CDD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18"/>
          <w:szCs w:val="18"/>
          <w:lang w:val="en-US" w:eastAsia="zh-CN"/>
        </w:rPr>
      </w:pPr>
    </w:p>
    <w:p w14:paraId="47904D9B"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厦门市工人文化宫   </w:t>
      </w:r>
    </w:p>
    <w:p w14:paraId="0EE804C1">
      <w:pPr>
        <w:spacing w:line="360" w:lineRule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送达地址：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厦门市思明区体育路95号工人体育馆综合馆</w:t>
      </w:r>
    </w:p>
    <w:p w14:paraId="0E671D1F">
      <w:pPr>
        <w:spacing w:line="360" w:lineRule="auto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南1门经营部</w:t>
      </w:r>
    </w:p>
    <w:p w14:paraId="6B10B058">
      <w:pPr>
        <w:spacing w:line="360" w:lineRule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吴仕伟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联系方式：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2661929 </w:t>
      </w:r>
    </w:p>
    <w:p w14:paraId="5D1A7445">
      <w:pPr>
        <w:spacing w:line="360" w:lineRule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C7EC1A0">
      <w:pPr>
        <w:spacing w:line="360" w:lineRule="auto"/>
        <w:rPr>
          <w:rFonts w:hint="default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乙方：</w:t>
      </w:r>
      <w:r>
        <w:rPr>
          <w:rFonts w:hint="eastAsia" w:ascii="仿宋" w:hAnsi="仿宋" w:eastAsia="仿宋" w:cs="仿宋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2E15D67D">
      <w:pPr>
        <w:spacing w:line="360" w:lineRule="auto"/>
        <w:rPr>
          <w:rFonts w:hint="default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送达地址：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 w14:paraId="73BF748C">
      <w:pPr>
        <w:spacing w:line="360" w:lineRule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4FB42ED6">
      <w:pPr>
        <w:spacing w:line="360" w:lineRule="auto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根据2025-2026年厦门市工人文化宫室外篮球场暑期部分时段招租结果,依据厦门市工人文化宫相关管理办法及相应法规，甲、乙双方签订本合同。</w:t>
      </w:r>
    </w:p>
    <w:p w14:paraId="4D4653AE">
      <w:pPr>
        <w:spacing w:line="360" w:lineRule="auto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第一条：乙方有偿使用甲方所属</w:t>
      </w:r>
      <w:r>
        <w:rPr>
          <w:rFonts w:hint="eastAsia" w:ascii="仿宋" w:hAnsi="仿宋" w:eastAsia="仿宋" w:cs="仿宋"/>
          <w:sz w:val="32"/>
          <w:szCs w:val="32"/>
        </w:rPr>
        <w:t>工人体育馆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室外篮球场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，并在约定的租赁时间内进行体育运动。</w:t>
      </w:r>
    </w:p>
    <w:p w14:paraId="21C4C4DA">
      <w:pPr>
        <w:spacing w:line="360" w:lineRule="auto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第二条：乙方租赁场地时间</w:t>
      </w:r>
    </w:p>
    <w:tbl>
      <w:tblPr>
        <w:tblStyle w:val="6"/>
        <w:tblW w:w="8968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3205"/>
        <w:gridCol w:w="1687"/>
        <w:gridCol w:w="2165"/>
      </w:tblGrid>
      <w:tr w14:paraId="296C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Align w:val="center"/>
          </w:tcPr>
          <w:p w14:paraId="5E4CA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用场年限</w:t>
            </w:r>
          </w:p>
        </w:tc>
        <w:tc>
          <w:tcPr>
            <w:tcW w:w="3205" w:type="dxa"/>
            <w:vAlign w:val="center"/>
          </w:tcPr>
          <w:p w14:paraId="498E6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具体用场时间</w:t>
            </w:r>
          </w:p>
        </w:tc>
        <w:tc>
          <w:tcPr>
            <w:tcW w:w="1687" w:type="dxa"/>
            <w:vAlign w:val="center"/>
          </w:tcPr>
          <w:p w14:paraId="7B40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使用区域</w:t>
            </w:r>
          </w:p>
        </w:tc>
        <w:tc>
          <w:tcPr>
            <w:tcW w:w="2165" w:type="dxa"/>
            <w:vAlign w:val="center"/>
          </w:tcPr>
          <w:p w14:paraId="560CB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使用时段</w:t>
            </w:r>
          </w:p>
        </w:tc>
      </w:tr>
      <w:tr w14:paraId="1CF0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11" w:type="dxa"/>
            <w:vMerge w:val="restart"/>
            <w:vAlign w:val="center"/>
          </w:tcPr>
          <w:p w14:paraId="5E75B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-202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</w:p>
          <w:p w14:paraId="3C60B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二年</w:t>
            </w:r>
          </w:p>
        </w:tc>
        <w:tc>
          <w:tcPr>
            <w:tcW w:w="3205" w:type="dxa"/>
            <w:vMerge w:val="restart"/>
            <w:vAlign w:val="center"/>
          </w:tcPr>
          <w:p w14:paraId="429CA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每年7月1日-8月31日期间的周一至周五</w:t>
            </w:r>
          </w:p>
        </w:tc>
        <w:tc>
          <w:tcPr>
            <w:tcW w:w="1687" w:type="dxa"/>
            <w:vMerge w:val="restart"/>
            <w:vAlign w:val="center"/>
          </w:tcPr>
          <w:p w14:paraId="7551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1、2号</w:t>
            </w:r>
          </w:p>
          <w:p w14:paraId="73439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全场</w:t>
            </w:r>
          </w:p>
        </w:tc>
        <w:tc>
          <w:tcPr>
            <w:tcW w:w="2165" w:type="dxa"/>
            <w:vAlign w:val="center"/>
          </w:tcPr>
          <w:p w14:paraId="7A34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8:00--10:00</w:t>
            </w:r>
          </w:p>
        </w:tc>
      </w:tr>
      <w:tr w14:paraId="586A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1" w:type="dxa"/>
            <w:vMerge w:val="continue"/>
            <w:vAlign w:val="center"/>
          </w:tcPr>
          <w:p w14:paraId="31E9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205" w:type="dxa"/>
            <w:vMerge w:val="continue"/>
            <w:vAlign w:val="center"/>
          </w:tcPr>
          <w:p w14:paraId="488C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F997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 w14:paraId="08BAF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17:00--19:00</w:t>
            </w:r>
          </w:p>
        </w:tc>
      </w:tr>
    </w:tbl>
    <w:p w14:paraId="7F03C0B2">
      <w:pPr>
        <w:spacing w:line="360" w:lineRule="auto"/>
        <w:ind w:firstLine="64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第三条：合作期限2年（2025-2026年）</w:t>
      </w:r>
    </w:p>
    <w:p w14:paraId="7AD351F5">
      <w:pPr>
        <w:spacing w:line="360" w:lineRule="auto"/>
        <w:ind w:firstLine="64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第四条：场地租赁费用及支付时限</w:t>
      </w:r>
    </w:p>
    <w:p w14:paraId="19C982D8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1、2025-2026年场地租赁费（两年）为乙方成交竞租价人民币***元整（￥***）。</w:t>
      </w:r>
    </w:p>
    <w:p w14:paraId="566281AF"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在接到成交通知三个工作日内与甲方签订租赁合同并缴纳2025年度租赁费（成交竞租价的50%）人民币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***元整（￥***）至甲方指定账号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若</w:t>
      </w:r>
      <w:r>
        <w:rPr>
          <w:rFonts w:hint="eastAsia" w:ascii="仿宋" w:hAnsi="仿宋" w:eastAsia="仿宋" w:cs="仿宋"/>
          <w:sz w:val="32"/>
          <w:szCs w:val="32"/>
        </w:rPr>
        <w:t>第一承租候选人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接到成交通知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后未在规定时间内签订租赁合同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缴纳承租费，则视为放弃承租资格，竞租保证金没收不退还，招租人依次递补选择承租人。</w:t>
      </w:r>
    </w:p>
    <w:p w14:paraId="7704AEA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须在2026年4月1日前将2026年度租赁费（成交竞租价的50%）人民币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***元整（￥***）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转入甲方指定账户。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若乙方逾期支付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2026年租赁费用，甲方有权解除本合同，同时乙方支付的履约保证金则作为违约金直接予以没收处理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E403D1E"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甲方账户全称：厦门市工人文化宫，开户行：工商银行松柏支行，帐号：4100 0264 0920 0023 232。甲方应在收到费用后7个工作日内开具正规地方税务发票给乙方。</w:t>
      </w:r>
    </w:p>
    <w:p w14:paraId="1B86BEE7"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第五条：乙方竞租时缴交的竞租保证金人民币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伍仟元整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￥5000.00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）转为本合同的履约保证金，将于合同期满且乙方无违约情况下予以退回。</w:t>
      </w:r>
    </w:p>
    <w:p w14:paraId="6EE9A50E">
      <w:pPr>
        <w:spacing w:line="360" w:lineRule="auto"/>
        <w:ind w:firstLine="640"/>
        <w:rPr>
          <w:rFonts w:hint="eastAsia" w:ascii="仿宋" w:hAnsi="仿宋" w:cs="仿宋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乙方退回账户信息为：***。</w:t>
      </w:r>
    </w:p>
    <w:p w14:paraId="1ECE12AB">
      <w:pPr>
        <w:spacing w:line="360" w:lineRule="auto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第六条：特别约定</w:t>
      </w:r>
    </w:p>
    <w:p w14:paraId="753C9F88"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本着互利共赢的原则，</w:t>
      </w:r>
      <w:r>
        <w:rPr>
          <w:rFonts w:hint="eastAsia" w:ascii="仿宋" w:hAnsi="仿宋" w:eastAsia="仿宋" w:cs="仿宋"/>
          <w:sz w:val="32"/>
          <w:szCs w:val="32"/>
        </w:rPr>
        <w:t>因下雨造成场地不可使用，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不可使用小时数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≦10小时由乙方承担；若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不可使用小时数超过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10小时，则超过的部分（区分</w:t>
      </w:r>
      <w:r>
        <w:rPr>
          <w:rFonts w:hint="eastAsia" w:ascii="仿宋" w:hAnsi="仿宋" w:eastAsia="仿宋" w:cs="仿宋"/>
          <w:sz w:val="32"/>
          <w:szCs w:val="32"/>
        </w:rPr>
        <w:t>17点前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甲方按实际未使用小时数予以返还，返还的小时数乙方限当年度用于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向甲方租场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使用（区分</w:t>
      </w:r>
      <w:r>
        <w:rPr>
          <w:rFonts w:hint="eastAsia" w:ascii="仿宋" w:hAnsi="仿宋" w:eastAsia="仿宋" w:cs="仿宋"/>
          <w:sz w:val="32"/>
          <w:szCs w:val="32"/>
        </w:rPr>
        <w:t>17点前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，过期作废、不可退现、不可转租使用。具体返还时间由双方协商确定。</w:t>
      </w:r>
    </w:p>
    <w:p w14:paraId="0F631709">
      <w:pPr>
        <w:tabs>
          <w:tab w:val="left" w:pos="1260"/>
        </w:tabs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七条：乙方使用室外篮球场需服从甲方的管理，遵守室外篮球场的“入场须知”（详见附件）规定，违反该规定造成自己或他人损害的，责任自负。如乙方不遵守场地规定，经甲方提醒后仍不改正的，甲方有权终止合同，且履约保证金不予退还。乙方用场期间负责对场地的保护，如有损坏按甲方核定的维修价格赔偿，若乙方未在甲方规定的合理期间内赔偿的，甲方有权从履约保证金中扣除，保证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不足以弥补甲方损失的，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甲方有权向乙方追偿。</w:t>
      </w:r>
    </w:p>
    <w:p w14:paraId="0B7A8027">
      <w:pPr>
        <w:tabs>
          <w:tab w:val="left" w:pos="1260"/>
        </w:tabs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第八条：如遇甲方承办赛事活动等用场情形，甲方应提前一日以上电话通知乙方；乙方应配合甲方的用场需求，甲方实际占用时间部分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（区分</w:t>
      </w:r>
      <w:r>
        <w:rPr>
          <w:rFonts w:hint="eastAsia" w:ascii="仿宋" w:hAnsi="仿宋" w:eastAsia="仿宋" w:cs="仿宋"/>
          <w:sz w:val="32"/>
          <w:szCs w:val="32"/>
        </w:rPr>
        <w:t>17点前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）于当年度给予乙方返还，过期作废，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返还的小时数不可退现、不可转租使用，具体返还时间由双方协商确定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D03A9D1">
      <w:pPr>
        <w:tabs>
          <w:tab w:val="left" w:pos="1260"/>
        </w:tabs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第九条：甲方只负责提供场地供乙方使用，乙方在甲方场地上开展的活动应符合国家有关规定，不得违背国家相关法律法规。乙方开展的培训活动与甲方无关，由乙方全权负责。</w:t>
      </w:r>
    </w:p>
    <w:p w14:paraId="01D6897F">
      <w:pPr>
        <w:tabs>
          <w:tab w:val="left" w:pos="1260"/>
        </w:tabs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条：乙方租场期间场内人员的安全问题由乙方全权负责。乙方应提示场内人员在运动前做好必要的热身准备，在运动中合理注意自身安全，避免损害发生。乙方租场期间造成甲方损失的，应赔偿损失，造成第三人损失的，由乙方全权负责，若甲方因第三人主张权利产生损失，有权向乙方全额追偿。</w:t>
      </w:r>
    </w:p>
    <w:p w14:paraId="59A6F523">
      <w:pPr>
        <w:tabs>
          <w:tab w:val="left" w:pos="1260"/>
        </w:tabs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第十一条：乙方应按照本合同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第四条约定的租赁费用及支付时限向甲方支付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场租费用，若乙方逾期支付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租赁费用，甲方有权解除本合同，乙方支付的履约保证金则作为违约金直接予以没收处理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1EDD4EE">
      <w:pPr>
        <w:tabs>
          <w:tab w:val="left" w:pos="1260"/>
        </w:tabs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第十二条：除不可抗力情形外，若乙方在合同期限内单方解除合同，应向甲方支付5000元违约金。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违约金优先从乙方缴纳的保证金中予以扣除，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保证金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不足以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支付违约金的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甲方有权向乙方进行主张。乙方已经支付的本年度场租费用不予退还。</w:t>
      </w:r>
    </w:p>
    <w:p w14:paraId="2F86CC17">
      <w:pPr>
        <w:tabs>
          <w:tab w:val="left" w:pos="1260"/>
        </w:tabs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第十三条：本合同列明的通讯地址、联系电话、传真、电子邮箱的联系方式均为本合同下的送达方式。</w:t>
      </w:r>
    </w:p>
    <w:p w14:paraId="55641E9E">
      <w:pPr>
        <w:tabs>
          <w:tab w:val="left" w:pos="1260"/>
        </w:tabs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四条：双方当事人在履行本合同过程中发生争议时，双方应当协商解决；若双方协商不能解决提起诉讼的，由甲方所在地人民法院进行管辖。双方认可将该本合同列明的信息作为仲裁、诉讼阶段法律文书的送达地址信息。</w:t>
      </w:r>
    </w:p>
    <w:p w14:paraId="636F4E3A">
      <w:pPr>
        <w:tabs>
          <w:tab w:val="left" w:pos="1260"/>
        </w:tabs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五条：本合同未尽事宜，详见《2025-2026年厦门市工人文化宫室外篮球场暑期部分时段招租邀请函》、本合同附件或另行签订补充协议。《2025-2026年厦门市工人文化宫室外篮球场暑期部分时段招租邀请函》、附件、补充协议与本合同具有同等法律效力。补充协议与本合同不一致的，以补充协议为准。</w:t>
      </w:r>
    </w:p>
    <w:p w14:paraId="2B32C05D">
      <w:pPr>
        <w:tabs>
          <w:tab w:val="left" w:pos="1260"/>
        </w:tabs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第十六条：本合同自甲乙双方签字盖章之日起成立，自乙方将2025年度租赁费用转至甲方账户生效。</w:t>
      </w:r>
    </w:p>
    <w:p w14:paraId="0F870935">
      <w:pPr>
        <w:tabs>
          <w:tab w:val="left" w:pos="1260"/>
        </w:tabs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本合同一式贰份，甲乙双方各执壹份，具有同等效力。</w:t>
      </w:r>
    </w:p>
    <w:p w14:paraId="05A71B1B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附件：入场须知</w:t>
      </w:r>
    </w:p>
    <w:p w14:paraId="70F3697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FA7DD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F2DA8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9175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7"/>
        <w:gridCol w:w="4618"/>
      </w:tblGrid>
      <w:tr w14:paraId="697A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14:paraId="7360E221">
            <w:pPr>
              <w:tabs>
                <w:tab w:val="left" w:pos="1260"/>
              </w:tabs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甲方：厦门市工人文化宫</w:t>
            </w:r>
          </w:p>
          <w:p w14:paraId="3DFB37C0">
            <w:pPr>
              <w:tabs>
                <w:tab w:val="left" w:pos="1260"/>
              </w:tabs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7606255F">
            <w:pPr>
              <w:tabs>
                <w:tab w:val="left" w:pos="1260"/>
              </w:tabs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乙方：</w:t>
            </w:r>
          </w:p>
          <w:p w14:paraId="3C5469C9">
            <w:pPr>
              <w:tabs>
                <w:tab w:val="left" w:pos="1260"/>
              </w:tabs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</w:tc>
      </w:tr>
      <w:tr w14:paraId="2B86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14:paraId="4B206748">
            <w:pPr>
              <w:tabs>
                <w:tab w:val="left" w:pos="1260"/>
              </w:tabs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1AE4C8BB">
            <w:pPr>
              <w:tabs>
                <w:tab w:val="left" w:pos="1260"/>
              </w:tabs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</w:tc>
      </w:tr>
      <w:tr w14:paraId="08B2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14:paraId="085B118D">
            <w:pPr>
              <w:tabs>
                <w:tab w:val="left" w:pos="1260"/>
              </w:tabs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联系方式：2661929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64020EA3">
            <w:pPr>
              <w:tabs>
                <w:tab w:val="left" w:pos="1260"/>
              </w:tabs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</w:tc>
      </w:tr>
      <w:tr w14:paraId="6546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14:paraId="5E2D03CF">
            <w:pPr>
              <w:tabs>
                <w:tab w:val="left" w:pos="1260"/>
              </w:tabs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签订日期：2025年  月  日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0FE4C6EF">
            <w:pPr>
              <w:tabs>
                <w:tab w:val="left" w:pos="1260"/>
              </w:tabs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签订日期：2025年  月  日</w:t>
            </w:r>
          </w:p>
        </w:tc>
      </w:tr>
    </w:tbl>
    <w:p w14:paraId="7756F5D2">
      <w:pPr>
        <w:spacing w:line="560" w:lineRule="exac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C899CB">
      <w:pPr>
        <w:spacing w:line="560" w:lineRule="exac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565D767">
      <w:pPr>
        <w:spacing w:line="560" w:lineRule="exac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0FADA0">
      <w:pPr>
        <w:spacing w:line="560" w:lineRule="exact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B6E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49CF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49CF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A68B2"/>
    <w:multiLevelType w:val="singleLevel"/>
    <w:tmpl w:val="249A68B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Tc1NWZjM2I2M2U4Zjk1MzE4NGE5ZjQyOTRlMTIifQ=="/>
  </w:docVars>
  <w:rsids>
    <w:rsidRoot w:val="1C247A79"/>
    <w:rsid w:val="021D04ED"/>
    <w:rsid w:val="03187EB0"/>
    <w:rsid w:val="036A59B4"/>
    <w:rsid w:val="05300723"/>
    <w:rsid w:val="08DF6721"/>
    <w:rsid w:val="0B8769D7"/>
    <w:rsid w:val="0C122C6F"/>
    <w:rsid w:val="0C992E66"/>
    <w:rsid w:val="0CC27423"/>
    <w:rsid w:val="0DA1216E"/>
    <w:rsid w:val="11D84E71"/>
    <w:rsid w:val="143376FC"/>
    <w:rsid w:val="145D6D2D"/>
    <w:rsid w:val="14A8633C"/>
    <w:rsid w:val="1C247A79"/>
    <w:rsid w:val="21B55BF5"/>
    <w:rsid w:val="24253506"/>
    <w:rsid w:val="264931FA"/>
    <w:rsid w:val="26AE34B4"/>
    <w:rsid w:val="27D36C39"/>
    <w:rsid w:val="2A8E647D"/>
    <w:rsid w:val="2ACE3433"/>
    <w:rsid w:val="2BCC4267"/>
    <w:rsid w:val="2CFA6B6F"/>
    <w:rsid w:val="2E7C1412"/>
    <w:rsid w:val="2FF10740"/>
    <w:rsid w:val="321B5F48"/>
    <w:rsid w:val="32F26CA9"/>
    <w:rsid w:val="365B0ABC"/>
    <w:rsid w:val="39194863"/>
    <w:rsid w:val="39ED01CA"/>
    <w:rsid w:val="3CAF3ECE"/>
    <w:rsid w:val="3F97068C"/>
    <w:rsid w:val="41300A4D"/>
    <w:rsid w:val="42B24978"/>
    <w:rsid w:val="434577BF"/>
    <w:rsid w:val="45467DAC"/>
    <w:rsid w:val="47A06A95"/>
    <w:rsid w:val="496E6505"/>
    <w:rsid w:val="499E4C24"/>
    <w:rsid w:val="4BC24E0E"/>
    <w:rsid w:val="4BFD6AF5"/>
    <w:rsid w:val="4C9444D5"/>
    <w:rsid w:val="4F22226C"/>
    <w:rsid w:val="52954CB0"/>
    <w:rsid w:val="53E6476A"/>
    <w:rsid w:val="568D26C1"/>
    <w:rsid w:val="56D025AE"/>
    <w:rsid w:val="57306735"/>
    <w:rsid w:val="588E44CE"/>
    <w:rsid w:val="5A690A1E"/>
    <w:rsid w:val="5B8E791B"/>
    <w:rsid w:val="5DBC1337"/>
    <w:rsid w:val="5E9860A7"/>
    <w:rsid w:val="5FE237AB"/>
    <w:rsid w:val="63906669"/>
    <w:rsid w:val="65044496"/>
    <w:rsid w:val="65AD20E6"/>
    <w:rsid w:val="683552CD"/>
    <w:rsid w:val="686D1480"/>
    <w:rsid w:val="68705F5D"/>
    <w:rsid w:val="69857EFA"/>
    <w:rsid w:val="72C25F71"/>
    <w:rsid w:val="758E7D5A"/>
    <w:rsid w:val="77714236"/>
    <w:rsid w:val="7CEA1E5A"/>
    <w:rsid w:val="7D0D0B13"/>
    <w:rsid w:val="7D281F7A"/>
    <w:rsid w:val="7DA118C8"/>
    <w:rsid w:val="7EF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4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5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正文 A"/>
    <w:autoRedefine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4266</Words>
  <Characters>4615</Characters>
  <Lines>0</Lines>
  <Paragraphs>0</Paragraphs>
  <TotalTime>4</TotalTime>
  <ScaleCrop>false</ScaleCrop>
  <LinksUpToDate>false</LinksUpToDate>
  <CharactersWithSpaces>4782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2022-05-05T16:04:00Z</dcterms:created>
  <dc:creator>海弦 ✨ koko</dc:creator>
  <cp:lastModifiedBy>Summer</cp:lastModifiedBy>
  <cp:lastPrinted>2022-05-23T15:29:00Z</cp:lastPrinted>
  <dcterms:modified xsi:type="dcterms:W3CDTF">2025-05-26T08:03:47Z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9846DE1B3B744DB391B68C3A2F0E57FA_13</vt:lpwstr>
  </property>
  <property fmtid="{D5CDD505-2E9C-101B-9397-08002B2CF9AE}" pid="4" name="KSOTemplateDocerSaveRecord">
    <vt:lpwstr>eyJoZGlkIjoiZWNhOGE3YTE3MDdmZDBmNjAyNDhmZWE0Mjk0MWZkNzkiLCJ1c2VySWQiOiIxMTc1MjE4NzY3In0=</vt:lpwstr>
  </property>
</Properties>
</file>